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033E18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C157798" w:rsidR="004B553E" w:rsidRPr="0017531F" w:rsidRDefault="00EF6C5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F1C5E85" w:rsidR="004B553E" w:rsidRPr="0017531F" w:rsidRDefault="00EB4CB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ROMAN ENGLESKOG MODERNIZMA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60505E4" w:rsidR="004B553E" w:rsidRPr="0017531F" w:rsidRDefault="00EF6C5F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19A4CC7" w:rsidR="004B553E" w:rsidRPr="0017531F" w:rsidRDefault="00EB4CB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1E68E57" w:rsidR="004B553E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1196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2E449F5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D1F351D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D460D86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1B3768D" w:rsidR="004B553E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1196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408982A8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4AD0C853" w:rsidR="004B553E" w:rsidRPr="0017531F" w:rsidRDefault="00A1196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4BD385B5" w:rsidR="00393964" w:rsidRPr="0017531F" w:rsidRDefault="00A1196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EBE5C8E" w:rsidR="00393964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CBD468D" w:rsidR="00453362" w:rsidRPr="0017531F" w:rsidRDefault="00EF6C5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44841E0" w:rsidR="00453362" w:rsidRPr="0017531F" w:rsidRDefault="00EF6C5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0DBED73" w:rsidR="00453362" w:rsidRPr="0017531F" w:rsidRDefault="00A119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3061852" w:rsidR="00453362" w:rsidRPr="0017531F" w:rsidRDefault="00EF6C5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Čet.; </w:t>
            </w:r>
            <w:r w:rsidR="0078474C">
              <w:rPr>
                <w:rFonts w:ascii="Merriweather" w:hAnsi="Merriweather" w:cs="Times New Roman"/>
                <w:sz w:val="16"/>
                <w:szCs w:val="16"/>
              </w:rPr>
              <w:t>12-15</w:t>
            </w:r>
            <w:r w:rsidR="007507D8">
              <w:rPr>
                <w:rFonts w:ascii="Merriweather" w:hAnsi="Merriweather" w:cs="Times New Roman"/>
                <w:sz w:val="16"/>
                <w:szCs w:val="16"/>
              </w:rPr>
              <w:t xml:space="preserve"> (DV. 143)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65EB43F" w:rsidR="00453362" w:rsidRPr="0017531F" w:rsidRDefault="00EF6C5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E7C1F3B" w:rsidR="00453362" w:rsidRPr="0017531F" w:rsidRDefault="00EF6C5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02.10.2025.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6CA3C8F" w:rsidR="00453362" w:rsidRPr="0017531F" w:rsidRDefault="00EF6C5F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22.01.2026.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5AB3B20" w:rsidR="00453362" w:rsidRPr="0017531F" w:rsidRDefault="00EF6C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Položeni književni kolegiji</w:t>
            </w:r>
            <w:r w:rsidR="008D437C">
              <w:rPr>
                <w:rFonts w:ascii="Merriweather" w:hAnsi="Merriweather" w:cs="Times New Roman"/>
                <w:sz w:val="16"/>
                <w:szCs w:val="16"/>
              </w:rPr>
              <w:t xml:space="preserve"> iz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prethodnih semestara.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B7FCD6C" w:rsidR="00453362" w:rsidRPr="0017531F" w:rsidRDefault="00EF6C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SC.MONIKA ŠINCEK BREGOVIĆ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314BC79" w:rsidR="00453362" w:rsidRPr="0017531F" w:rsidRDefault="00A1196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EF6C5F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mbregov@unizd.hr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B520C59" w:rsidR="00453362" w:rsidRPr="0017531F" w:rsidRDefault="00EF6C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DOC.DR.SC. MONIKA ŠINCEK BREGOVIĆ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24FDEF5" w:rsidR="00453362" w:rsidRPr="0017531F" w:rsidRDefault="00A1196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EF6C5F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mbregov@unizd.hr</w:t>
              </w:r>
            </w:hyperlink>
            <w:r w:rsidR="00EF6C5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4198DCD" w:rsidR="00453362" w:rsidRPr="0017531F" w:rsidRDefault="00EF6C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Čet. 11:00-12:00 i 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7BF04E2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4AF2C41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3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2809FDE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C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1196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46AB0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20016EE" w14:textId="77777777" w:rsidR="00F46AB0" w:rsidRPr="00E108C1" w:rsidRDefault="00F46AB0" w:rsidP="00F46AB0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Arial"/>
                <w:sz w:val="16"/>
                <w:szCs w:val="16"/>
              </w:rPr>
            </w:pPr>
            <w:r w:rsidRPr="00E108C1">
              <w:rPr>
                <w:rFonts w:ascii="Merriweather" w:hAnsi="Merriweather" w:cs="Arial"/>
                <w:sz w:val="16"/>
                <w:szCs w:val="16"/>
              </w:rPr>
              <w:t>sposobnost analize i sinteze</w:t>
            </w:r>
          </w:p>
          <w:p w14:paraId="087CA286" w14:textId="77777777" w:rsidR="00F46AB0" w:rsidRPr="00E108C1" w:rsidRDefault="00F46AB0" w:rsidP="00F46AB0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Arial"/>
                <w:sz w:val="16"/>
                <w:szCs w:val="16"/>
              </w:rPr>
            </w:pPr>
            <w:r w:rsidRPr="00E108C1">
              <w:rPr>
                <w:rFonts w:ascii="Merriweather" w:hAnsi="Merriweather" w:cs="Arial"/>
                <w:sz w:val="16"/>
                <w:szCs w:val="16"/>
              </w:rPr>
              <w:t>sposobnost kritičkog mišljenja</w:t>
            </w:r>
          </w:p>
          <w:p w14:paraId="30739E1C" w14:textId="77777777" w:rsidR="00F46AB0" w:rsidRPr="00E108C1" w:rsidRDefault="00F46AB0" w:rsidP="00F46AB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E108C1">
              <w:rPr>
                <w:rFonts w:ascii="Merriweather" w:hAnsi="Merriweather" w:cs="Arial"/>
                <w:sz w:val="16"/>
                <w:szCs w:val="16"/>
              </w:rPr>
              <w:t>sposobnost analize i interpretacije književnih tekstova uz pomoć</w:t>
            </w:r>
            <w:r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E108C1">
              <w:rPr>
                <w:rFonts w:ascii="Merriweather" w:hAnsi="Merriweather" w:cs="Arial"/>
                <w:sz w:val="16"/>
                <w:szCs w:val="16"/>
              </w:rPr>
              <w:t>usvojenih teorijskih pristupa</w:t>
            </w:r>
          </w:p>
          <w:p w14:paraId="5E85712F" w14:textId="77777777" w:rsidR="00F46AB0" w:rsidRDefault="00F46AB0" w:rsidP="00F46AB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erriweather" w:hAnsi="Merriweather" w:cs="Arial"/>
                <w:sz w:val="16"/>
                <w:szCs w:val="16"/>
              </w:rPr>
            </w:pPr>
            <w:r>
              <w:rPr>
                <w:rFonts w:ascii="Merriweather" w:hAnsi="Merriweather" w:cs="Arial"/>
                <w:sz w:val="16"/>
                <w:szCs w:val="16"/>
              </w:rPr>
              <w:t xml:space="preserve">         -</w:t>
            </w:r>
            <w:r w:rsidRPr="00E108C1">
              <w:rPr>
                <w:rFonts w:ascii="Merriweather" w:hAnsi="Merriweather" w:cs="Arial"/>
                <w:sz w:val="16"/>
                <w:szCs w:val="16"/>
              </w:rPr>
              <w:t xml:space="preserve">   sposobnost kritičke primjene teorijskih tekstova na književni tekst</w:t>
            </w:r>
          </w:p>
          <w:p w14:paraId="4054102F" w14:textId="777F7655" w:rsidR="00F46AB0" w:rsidRDefault="00F46AB0" w:rsidP="00F46AB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erriweather" w:hAnsi="Merriweather" w:cs="Arial"/>
                <w:sz w:val="16"/>
                <w:szCs w:val="16"/>
              </w:rPr>
            </w:pPr>
            <w:r>
              <w:rPr>
                <w:rFonts w:ascii="Merriweather" w:hAnsi="Merriweather" w:cs="Arial"/>
                <w:sz w:val="16"/>
                <w:szCs w:val="16"/>
              </w:rPr>
              <w:t xml:space="preserve">         - usvajanje temeljnih znanja o književno-povijesnom razdoblju modernizma i romanu kao književnom žanru</w:t>
            </w:r>
          </w:p>
          <w:p w14:paraId="13E2A08B" w14:textId="73FDBB6E" w:rsidR="00F46AB0" w:rsidRPr="0017531F" w:rsidRDefault="00F46AB0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F46AB0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80C5B6D" w14:textId="77777777" w:rsidR="00F46AB0" w:rsidRPr="002C465D" w:rsidRDefault="00F46AB0" w:rsidP="00F46AB0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2C465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prepoznati i opisati relevantne ideje i koncepte</w:t>
            </w:r>
          </w:p>
          <w:p w14:paraId="3D1C572A" w14:textId="77777777" w:rsidR="00F46AB0" w:rsidRPr="002C465D" w:rsidRDefault="00F46AB0" w:rsidP="00F46AB0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2C465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povezati različite pristupe, izvore spoznaje i znanja kroz interdisciplinarni pristup</w:t>
            </w:r>
          </w:p>
          <w:p w14:paraId="12CA2F78" w14:textId="3121DCCB" w:rsidR="00F46AB0" w:rsidRPr="00F46AB0" w:rsidRDefault="00F46AB0" w:rsidP="00F46AB0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46AB0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primijeniti kritičan i samokritičan pristup u argumentaciji</w:t>
            </w:r>
          </w:p>
        </w:tc>
      </w:tr>
      <w:tr w:rsidR="00F46AB0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46AB0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11325D1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5AC0819A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46AB0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EA271D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F46AB0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918CD1A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46AB0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B5E4C5F" w:rsidR="00F46AB0" w:rsidRPr="0017531F" w:rsidRDefault="00F46AB0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Pohađanje najmanje 80% nastave.</w:t>
            </w:r>
          </w:p>
        </w:tc>
      </w:tr>
      <w:tr w:rsidR="00F46AB0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AF8BA3D" w:rsidR="00F46AB0" w:rsidRPr="0017531F" w:rsidRDefault="00A11963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46AB0" w:rsidRPr="0017531F" w:rsidRDefault="00A11963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45E069B" w:rsidR="00F46AB0" w:rsidRPr="0017531F" w:rsidRDefault="00A11963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46AB0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46AB0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46AB0" w:rsidRPr="0017531F" w:rsidRDefault="00F46AB0" w:rsidP="00F46A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309A13A2" w:rsidR="00F46AB0" w:rsidRPr="0017531F" w:rsidRDefault="00A11963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F46AB0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F46AB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46AB0" w:rsidRPr="0017531F" w:rsidRDefault="00F46AB0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9BA6011" w:rsidR="00F46AB0" w:rsidRPr="0017531F" w:rsidRDefault="00A11963" w:rsidP="00F46A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="00D212A5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05198E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9F1170D" w:rsidR="0005198E" w:rsidRPr="002651F9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78474C">
              <w:rPr>
                <w:rFonts w:ascii="Merriweather" w:hAnsi="Merriweather"/>
                <w:sz w:val="16"/>
                <w:szCs w:val="16"/>
              </w:rPr>
              <w:t>Kolegij nudi uvod u književno</w:t>
            </w:r>
            <w:r w:rsidR="008D437C" w:rsidRPr="0078474C">
              <w:rPr>
                <w:rFonts w:ascii="Merriweather" w:hAnsi="Merriweather"/>
                <w:sz w:val="16"/>
                <w:szCs w:val="16"/>
              </w:rPr>
              <w:t>st engleskog</w:t>
            </w:r>
            <w:r w:rsidRPr="0078474C">
              <w:rPr>
                <w:rFonts w:ascii="Merriweather" w:hAnsi="Merriweather"/>
                <w:sz w:val="16"/>
                <w:szCs w:val="16"/>
              </w:rPr>
              <w:t xml:space="preserve"> modernizma te stavlja posebni naglasak na roman kao književni žanr.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Tijekom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kolegija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čitat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će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sljedeći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tekstovi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: D.H. Lawrence: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Women in Love</w:t>
            </w:r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V. Woolf: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To the </w:t>
            </w:r>
            <w:proofErr w:type="spellStart"/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Lighhouse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J. Conrad: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Heart of Darkness</w:t>
            </w:r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J. Joyce: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 xml:space="preserve">Ulysses; </w:t>
            </w:r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A. Huxley: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Brave New World;</w:t>
            </w:r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G. Greene: </w:t>
            </w:r>
            <w:r w:rsidRPr="002651F9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The Power and the Glory</w:t>
            </w:r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Spomenuta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djela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obrađivat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će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se u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odnosu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na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svoj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kulturno-povijesni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kontekst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kolonijalizam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imperijalna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ekspanzija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tehnologija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znanost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psihoanaliza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problem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vremena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zaokret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prema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unutrašnjosti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; film i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književnost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).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Studenti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>će</w:t>
            </w:r>
            <w:proofErr w:type="spellEnd"/>
            <w:r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C5420E" w:rsidRPr="002651F9">
              <w:rPr>
                <w:rFonts w:ascii="Merriweather" w:hAnsi="Merriweather"/>
                <w:sz w:val="16"/>
                <w:szCs w:val="16"/>
                <w:lang w:val="en-US"/>
              </w:rPr>
              <w:t>također</w:t>
            </w:r>
            <w:proofErr w:type="spellEnd"/>
            <w:r w:rsidR="00C5420E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5420E" w:rsidRPr="002651F9">
              <w:rPr>
                <w:rFonts w:ascii="Merriweather" w:hAnsi="Merriweather"/>
                <w:sz w:val="16"/>
                <w:szCs w:val="16"/>
                <w:lang w:val="en-US"/>
              </w:rPr>
              <w:t>upoznati</w:t>
            </w:r>
            <w:proofErr w:type="spellEnd"/>
            <w:r w:rsidR="00C5420E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s </w:t>
            </w:r>
            <w:proofErr w:type="spellStart"/>
            <w:r w:rsidR="00C5420E" w:rsidRPr="002651F9">
              <w:rPr>
                <w:rFonts w:ascii="Merriweather" w:hAnsi="Merriweather"/>
                <w:sz w:val="16"/>
                <w:szCs w:val="16"/>
                <w:lang w:val="en-US"/>
              </w:rPr>
              <w:t>moderni</w:t>
            </w:r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stičkim</w:t>
            </w:r>
            <w:proofErr w:type="spellEnd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književnim</w:t>
            </w:r>
            <w:proofErr w:type="spellEnd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postupcima</w:t>
            </w:r>
            <w:proofErr w:type="spellEnd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i </w:t>
            </w:r>
            <w:proofErr w:type="spellStart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narativnim</w:t>
            </w:r>
            <w:proofErr w:type="spellEnd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tehnikama</w:t>
            </w:r>
            <w:proofErr w:type="spellEnd"/>
            <w:r w:rsidR="002651F9" w:rsidRPr="002651F9">
              <w:rPr>
                <w:rFonts w:ascii="Merriweather" w:hAnsi="Merriweather"/>
                <w:sz w:val="16"/>
                <w:szCs w:val="16"/>
                <w:lang w:val="en-US"/>
              </w:rPr>
              <w:t>.</w:t>
            </w:r>
          </w:p>
        </w:tc>
      </w:tr>
      <w:tr w:rsidR="0005198E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E779D31" w14:textId="631678AC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1. Uvodno predavanje.  Modernizam u kontekstu </w:t>
            </w:r>
          </w:p>
          <w:p w14:paraId="7DD64607" w14:textId="22AFB0B3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2. J. Conrad: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Heart of Darkness</w:t>
            </w:r>
          </w:p>
          <w:p w14:paraId="204963AB" w14:textId="1C03CDB4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3. J. Conrad: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Heart of Darkness</w:t>
            </w:r>
          </w:p>
          <w:p w14:paraId="3A816AF7" w14:textId="1EFE2A18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4. V. Woolf: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To the Lighhouse</w:t>
            </w:r>
          </w:p>
          <w:p w14:paraId="35DD902F" w14:textId="2D4DE9D7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5. V. Woolf: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To the Lighthouse</w:t>
            </w:r>
          </w:p>
          <w:p w14:paraId="0FF13404" w14:textId="68C6F9BE" w:rsidR="0005198E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iCs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6. J. Joyce: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Ulysses</w:t>
            </w:r>
          </w:p>
          <w:p w14:paraId="1810C18E" w14:textId="1C7308AD" w:rsidR="0005198E" w:rsidRPr="0005198E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>7. J.Joyce: Ulysses</w:t>
            </w:r>
          </w:p>
          <w:p w14:paraId="330035E9" w14:textId="736D5808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>8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>. KOLOKVIJ</w:t>
            </w:r>
          </w:p>
          <w:p w14:paraId="3365483C" w14:textId="0B7E5B71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>9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D.H. Lawrence: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Women in Love</w:t>
            </w:r>
          </w:p>
          <w:p w14:paraId="4F90E3E9" w14:textId="19B0643A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>10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D.H. Lawrence: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Women in Love</w:t>
            </w:r>
          </w:p>
          <w:p w14:paraId="048451BE" w14:textId="7B7B308B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6"/>
                <w:szCs w:val="16"/>
              </w:rPr>
              <w:t>11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A. Huxley: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Brave New World</w:t>
            </w:r>
          </w:p>
          <w:p w14:paraId="63408F4F" w14:textId="2F6ED718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>1</w:t>
            </w:r>
            <w:r>
              <w:rPr>
                <w:rFonts w:ascii="Merriweather" w:eastAsia="MS Gothic" w:hAnsi="Merriweather"/>
                <w:sz w:val="16"/>
                <w:szCs w:val="16"/>
              </w:rPr>
              <w:t>2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A. Huxley: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Brave New World</w:t>
            </w:r>
          </w:p>
          <w:p w14:paraId="3EC6A6C3" w14:textId="585FCB72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iCs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>1</w:t>
            </w:r>
            <w:r>
              <w:rPr>
                <w:rFonts w:ascii="Merriweather" w:eastAsia="MS Gothic" w:hAnsi="Merriweather"/>
                <w:sz w:val="16"/>
                <w:szCs w:val="16"/>
              </w:rPr>
              <w:t>3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G. Greene: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The Power and the Glory</w:t>
            </w:r>
          </w:p>
          <w:p w14:paraId="2D1D85F1" w14:textId="5B526598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>1</w:t>
            </w:r>
            <w:r>
              <w:rPr>
                <w:rFonts w:ascii="Merriweather" w:eastAsia="MS Gothic" w:hAnsi="Merriweather"/>
                <w:sz w:val="16"/>
                <w:szCs w:val="16"/>
              </w:rPr>
              <w:t>4</w:t>
            </w:r>
            <w:r w:rsidRPr="00F46AB0">
              <w:rPr>
                <w:rFonts w:ascii="Merriweather" w:eastAsia="MS Gothic" w:hAnsi="Merriweather"/>
                <w:sz w:val="16"/>
                <w:szCs w:val="16"/>
              </w:rPr>
              <w:t xml:space="preserve">. G. Greene: </w:t>
            </w:r>
            <w:r w:rsidRPr="00F46AB0">
              <w:rPr>
                <w:rFonts w:ascii="Merriweather" w:eastAsia="MS Gothic" w:hAnsi="Merriweather"/>
                <w:i/>
                <w:iCs/>
                <w:sz w:val="16"/>
                <w:szCs w:val="16"/>
              </w:rPr>
              <w:t>The Power and the Glory</w:t>
            </w:r>
          </w:p>
          <w:p w14:paraId="6E3A408E" w14:textId="2ADF0396" w:rsidR="0005198E" w:rsidRPr="00F46AB0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F46AB0">
              <w:rPr>
                <w:rFonts w:ascii="Merriweather" w:eastAsia="MS Gothic" w:hAnsi="Merriweather"/>
                <w:sz w:val="16"/>
                <w:szCs w:val="16"/>
              </w:rPr>
              <w:t>15. KOLOKVIJ</w:t>
            </w:r>
          </w:p>
        </w:tc>
      </w:tr>
      <w:tr w:rsidR="0005198E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496E3DA" w14:textId="00B6D856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Primarna</w:t>
            </w:r>
            <w:proofErr w:type="spellEnd"/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literatur</w:t>
            </w:r>
            <w:r w:rsidR="002651F9"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a</w:t>
            </w:r>
            <w:proofErr w:type="spellEnd"/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:</w:t>
            </w:r>
          </w:p>
          <w:p w14:paraId="2281A888" w14:textId="2F09C352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Joseph Conrad: </w:t>
            </w:r>
            <w:r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Heart of Darkness</w:t>
            </w: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.</w:t>
            </w:r>
          </w:p>
          <w:p w14:paraId="632B3A67" w14:textId="77777777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Aldous Huxley: </w:t>
            </w:r>
            <w:r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Brave New World</w:t>
            </w: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.</w:t>
            </w:r>
          </w:p>
          <w:p w14:paraId="0C6C68D3" w14:textId="77777777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Graham Greene: </w:t>
            </w:r>
            <w:r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The Power and the Glory</w:t>
            </w: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.</w:t>
            </w:r>
          </w:p>
          <w:p w14:paraId="35FE0D3E" w14:textId="77777777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James Joyce: </w:t>
            </w:r>
            <w:r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Ulysses</w:t>
            </w: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>.</w:t>
            </w:r>
          </w:p>
          <w:p w14:paraId="6E4ECBE7" w14:textId="14C37FE8" w:rsidR="0005198E" w:rsidRPr="00BC285E" w:rsidRDefault="0005198E" w:rsidP="0005198E">
            <w:pPr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D.H. Lawrence: </w:t>
            </w:r>
            <w:r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Women in Love</w:t>
            </w:r>
            <w:r w:rsidR="00D212A5"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.</w:t>
            </w:r>
          </w:p>
          <w:p w14:paraId="5FF14897" w14:textId="2B0EA027" w:rsidR="0005198E" w:rsidRPr="00BC285E" w:rsidRDefault="0005198E" w:rsidP="0005198E">
            <w:pPr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</w:rPr>
            </w:pPr>
            <w:r w:rsidRPr="00BC285E">
              <w:rPr>
                <w:rFonts w:ascii="Merriweather" w:eastAsia="Calibri" w:hAnsi="Merriweather" w:cs="Times New Roman"/>
                <w:color w:val="000000"/>
                <w:sz w:val="16"/>
                <w:szCs w:val="16"/>
                <w:lang w:val="en-GB"/>
              </w:rPr>
              <w:t xml:space="preserve">Virginia Woolf: </w:t>
            </w:r>
            <w:r w:rsidR="00D212A5"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 xml:space="preserve">To the </w:t>
            </w:r>
            <w:proofErr w:type="spellStart"/>
            <w:r w:rsidR="00D212A5"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Lighhouse</w:t>
            </w:r>
            <w:proofErr w:type="spellEnd"/>
            <w:r w:rsidR="00D212A5" w:rsidRPr="00BC285E">
              <w:rPr>
                <w:rFonts w:ascii="Merriweather" w:eastAsia="Calibri" w:hAnsi="Merriweather" w:cs="Times New Roman"/>
                <w:i/>
                <w:iCs/>
                <w:color w:val="000000"/>
                <w:sz w:val="16"/>
                <w:szCs w:val="16"/>
                <w:lang w:val="en-GB"/>
              </w:rPr>
              <w:t>.</w:t>
            </w:r>
          </w:p>
          <w:p w14:paraId="467AA372" w14:textId="77777777" w:rsidR="0005198E" w:rsidRPr="00BC285E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</w:p>
          <w:p w14:paraId="05E0F6EE" w14:textId="77777777" w:rsidR="0005198E" w:rsidRPr="00BC285E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C285E">
              <w:rPr>
                <w:rFonts w:ascii="Merriweather" w:eastAsia="MS Gothic" w:hAnsi="Merriweather" w:cs="Times New Roman"/>
                <w:sz w:val="16"/>
                <w:szCs w:val="16"/>
              </w:rPr>
              <w:t>Sekundarna literatura:</w:t>
            </w:r>
          </w:p>
          <w:p w14:paraId="53AD541A" w14:textId="3A7117C2" w:rsidR="0005198E" w:rsidRPr="00BC285E" w:rsidRDefault="0005198E" w:rsidP="0005198E">
            <w:pPr>
              <w:rPr>
                <w:rFonts w:ascii="Merriweather" w:hAnsi="Merriweather"/>
                <w:sz w:val="16"/>
                <w:szCs w:val="16"/>
                <w:lang w:eastAsia="hr-HR"/>
              </w:rPr>
            </w:pPr>
          </w:p>
          <w:p w14:paraId="416027AD" w14:textId="08C812F3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15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D. Bradshaw, Kevin J.H. Dettmar (eds.):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A Companion to Modernist Literature and Culture</w:t>
              </w:r>
            </w:hyperlink>
            <w:r w:rsidR="0005198E" w:rsidRPr="00BC285E">
              <w:rPr>
                <w:rFonts w:ascii="Merriweather" w:hAnsi="Merriweather"/>
                <w:sz w:val="16"/>
                <w:szCs w:val="16"/>
                <w:lang w:eastAsia="hr-HR"/>
              </w:rPr>
              <w:t>. Wiley-Blackwell, 2008.</w:t>
            </w:r>
          </w:p>
          <w:p w14:paraId="20DEF270" w14:textId="45CBAC6B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16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D. Attridge (</w:t>
              </w:r>
              <w:r w:rsidR="008D437C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ur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.):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 xml:space="preserve"> The Cambridge Companion to James Joyce</w:t>
              </w:r>
            </w:hyperlink>
            <w:r w:rsidR="0005198E" w:rsidRPr="00BC285E">
              <w:rPr>
                <w:rFonts w:ascii="Merriweather" w:hAnsi="Merriweather"/>
                <w:sz w:val="16"/>
                <w:szCs w:val="16"/>
                <w:lang w:eastAsia="hr-HR"/>
              </w:rPr>
              <w:t>. Cambridge University Press, 2004.</w:t>
            </w:r>
          </w:p>
          <w:p w14:paraId="24077D51" w14:textId="0B8E9456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17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H. Bloom </w:t>
              </w:r>
              <w:r w:rsidR="008D437C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(ur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.).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Aldous Huxley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. Infobase Publishing. 2010.</w:t>
              </w:r>
            </w:hyperlink>
          </w:p>
          <w:p w14:paraId="3BE6FC2C" w14:textId="34C3C3ED" w:rsidR="0005198E" w:rsidRPr="00BC285E" w:rsidRDefault="0005198E" w:rsidP="0005198E">
            <w:pPr>
              <w:spacing w:line="276" w:lineRule="auto"/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</w:pPr>
            <w:r w:rsidRPr="00BC285E"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>Harold Bloom (</w:t>
            </w:r>
            <w:r w:rsidR="008D437C" w:rsidRPr="00BC285E"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>ur</w:t>
            </w:r>
            <w:r w:rsidRPr="00BC285E"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 xml:space="preserve">.). </w:t>
            </w:r>
            <w:r w:rsidRPr="00BC285E">
              <w:rPr>
                <w:rFonts w:ascii="Merriweather" w:hAnsi="Merriweather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Graham Greene.</w:t>
            </w:r>
            <w:r w:rsidRPr="00BC285E"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> Chelsea House Publications. 1987.</w:t>
            </w:r>
          </w:p>
          <w:p w14:paraId="3C649611" w14:textId="04EDF937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18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B. Etherington: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 xml:space="preserve"> Literary Primitivism</w:t>
              </w:r>
            </w:hyperlink>
            <w:r w:rsidR="0005198E" w:rsidRPr="00BC285E">
              <w:rPr>
                <w:rFonts w:ascii="Merriweather" w:hAnsi="Merriweather"/>
                <w:sz w:val="16"/>
                <w:szCs w:val="16"/>
                <w:lang w:eastAsia="hr-HR"/>
              </w:rPr>
              <w:t>. Stanford University Press, 2017.</w:t>
            </w:r>
          </w:p>
          <w:p w14:paraId="253723FB" w14:textId="0C41BDE0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19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P. Lewis: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The Cambridge Introduction to Modernism.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 Cambridge University Press, 2008. )</w:t>
              </w:r>
            </w:hyperlink>
          </w:p>
          <w:p w14:paraId="4F6C1213" w14:textId="77777777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20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L. Marcus: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The Tenth Muse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. Oxford University Press. 2010.</w:t>
              </w:r>
            </w:hyperlink>
          </w:p>
          <w:p w14:paraId="7FFE3E16" w14:textId="77777777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21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S. Sellers: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The Cambridge Companion to Virginia Woolf.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 Cambridge University Press. 2010</w:t>
              </w:r>
            </w:hyperlink>
          </w:p>
          <w:p w14:paraId="2B56BFC7" w14:textId="53B3A981" w:rsidR="0005198E" w:rsidRPr="00BC285E" w:rsidRDefault="0005198E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r w:rsidRPr="00BC285E">
              <w:rPr>
                <w:rStyle w:val="Istaknuto"/>
                <w:rFonts w:ascii="Merriweather" w:hAnsi="Merriweather" w:cs="Open Sans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J.H. Stape (</w:t>
            </w:r>
            <w:r w:rsidR="008D437C" w:rsidRPr="00BC285E">
              <w:rPr>
                <w:rStyle w:val="Istaknuto"/>
                <w:rFonts w:ascii="Merriweather" w:hAnsi="Merriweather" w:cs="Open Sans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ur</w:t>
            </w:r>
            <w:r w:rsidRPr="00BC285E">
              <w:rPr>
                <w:rStyle w:val="Istaknuto"/>
                <w:rFonts w:ascii="Merriweather" w:hAnsi="Merriweather" w:cs="Open Sans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 xml:space="preserve">): </w:t>
            </w:r>
            <w:r w:rsidRPr="00BC285E">
              <w:rPr>
                <w:rStyle w:val="Istaknuto"/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>The New Cambridge Companion to Joseph Conrad</w:t>
            </w:r>
            <w:r w:rsidRPr="00BC285E">
              <w:rPr>
                <w:rFonts w:ascii="Merriweather" w:hAnsi="Merriweather" w:cs="Open Sans"/>
                <w:color w:val="000000"/>
                <w:sz w:val="16"/>
                <w:szCs w:val="16"/>
                <w:shd w:val="clear" w:color="auto" w:fill="FFFFFF"/>
              </w:rPr>
              <w:t> (ed. J.H. Stape). Cambridge University Press. 2014.</w:t>
            </w:r>
          </w:p>
          <w:p w14:paraId="4FFFF616" w14:textId="48FCF52E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22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A. Poole: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The Cambridge Companion to English Novelists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>. Cambridge University Press. 2010.</w:t>
              </w:r>
            </w:hyperlink>
          </w:p>
          <w:p w14:paraId="27637C75" w14:textId="77777777" w:rsidR="0005198E" w:rsidRPr="00BC285E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23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G. Genette: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Palimpsest. Literature in the Second Degree</w:t>
              </w:r>
            </w:hyperlink>
          </w:p>
          <w:p w14:paraId="0B89B5BE" w14:textId="7968E23C" w:rsidR="0005198E" w:rsidRPr="005E4B8F" w:rsidRDefault="00A11963" w:rsidP="0005198E">
            <w:pPr>
              <w:spacing w:line="276" w:lineRule="auto"/>
              <w:rPr>
                <w:rFonts w:ascii="Merriweather" w:hAnsi="Merriweather"/>
                <w:sz w:val="16"/>
                <w:szCs w:val="16"/>
                <w:lang w:eastAsia="hr-HR"/>
              </w:rPr>
            </w:pPr>
            <w:hyperlink r:id="rId24" w:history="1"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I.Watt: </w:t>
              </w:r>
              <w:r w:rsidR="0005198E" w:rsidRPr="00BC285E">
                <w:rPr>
                  <w:rStyle w:val="Hiperveza"/>
                  <w:rFonts w:ascii="Merriweather" w:hAnsi="Merriweather"/>
                  <w:i/>
                  <w:iCs/>
                  <w:color w:val="auto"/>
                  <w:sz w:val="16"/>
                  <w:szCs w:val="16"/>
                  <w:u w:val="none"/>
                  <w:lang w:eastAsia="hr-HR"/>
                </w:rPr>
                <w:t>Conrad in the Nineteenth Century</w:t>
              </w:r>
              <w:r w:rsidR="0005198E" w:rsidRPr="00BC285E">
                <w:rPr>
                  <w:rStyle w:val="Hiperveza"/>
                  <w:rFonts w:ascii="Merriweather" w:hAnsi="Merriweather"/>
                  <w:color w:val="auto"/>
                  <w:sz w:val="16"/>
                  <w:szCs w:val="16"/>
                  <w:u w:val="none"/>
                  <w:lang w:eastAsia="hr-HR"/>
                </w:rPr>
                <w:t xml:space="preserve"> 1</w:t>
              </w:r>
            </w:hyperlink>
            <w:r w:rsidR="0005198E" w:rsidRPr="00BC285E">
              <w:rPr>
                <w:rFonts w:ascii="Merriweather" w:hAnsi="Merriweather"/>
                <w:sz w:val="16"/>
                <w:szCs w:val="16"/>
                <w:lang w:eastAsia="hr-HR"/>
              </w:rPr>
              <w:t>. University of California Press. 2023.</w:t>
            </w:r>
          </w:p>
        </w:tc>
      </w:tr>
      <w:tr w:rsidR="0005198E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5198E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21943849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/</w:t>
            </w:r>
          </w:p>
        </w:tc>
      </w:tr>
      <w:tr w:rsidR="0005198E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5198E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306CEDC3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A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5198E" w:rsidRPr="0017531F" w:rsidRDefault="0005198E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5198E" w:rsidRPr="0017531F" w:rsidRDefault="0005198E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5198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5198E" w:rsidRPr="0017531F" w:rsidRDefault="0005198E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05198E" w:rsidRPr="0017531F" w:rsidRDefault="00A11963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5198E" w:rsidRPr="0017531F" w:rsidRDefault="0005198E" w:rsidP="0005198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5198E" w:rsidRPr="0017531F" w:rsidRDefault="00A11963" w:rsidP="0005198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9F11705" w:rsidR="0005198E" w:rsidRPr="0017531F" w:rsidRDefault="00A11963" w:rsidP="0005198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A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198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5198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3F86BB5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0% kolokvij,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0%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izlaganje i sudjelovanje u diskusijama</w:t>
            </w:r>
          </w:p>
        </w:tc>
      </w:tr>
      <w:tr w:rsidR="0005198E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CCF62AA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5198E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72C9A2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5198E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6853A25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5198E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A547EDD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5198E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DA94AE8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5198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5198E" w:rsidRPr="0017531F" w:rsidRDefault="00A11963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5198E" w:rsidRPr="0017531F" w:rsidRDefault="00A11963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5198E" w:rsidRPr="0017531F" w:rsidRDefault="00A11963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5198E" w:rsidRPr="0017531F" w:rsidRDefault="00A11963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5198E" w:rsidRPr="0017531F" w:rsidRDefault="00A11963" w:rsidP="000519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98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198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5198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5198E" w:rsidRPr="0017531F" w:rsidRDefault="0005198E" w:rsidP="000519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25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05198E" w:rsidRPr="0017531F" w:rsidRDefault="0005198E" w:rsidP="0005198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DB88" w14:textId="77777777" w:rsidR="00A11963" w:rsidRDefault="00A11963" w:rsidP="009947BA">
      <w:pPr>
        <w:spacing w:before="0" w:after="0"/>
      </w:pPr>
      <w:r>
        <w:separator/>
      </w:r>
    </w:p>
  </w:endnote>
  <w:endnote w:type="continuationSeparator" w:id="0">
    <w:p w14:paraId="061FEF1C" w14:textId="77777777" w:rsidR="00A11963" w:rsidRDefault="00A1196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292B" w14:textId="77777777" w:rsidR="00A11963" w:rsidRDefault="00A11963" w:rsidP="009947BA">
      <w:pPr>
        <w:spacing w:before="0" w:after="0"/>
      </w:pPr>
      <w:r>
        <w:separator/>
      </w:r>
    </w:p>
  </w:footnote>
  <w:footnote w:type="continuationSeparator" w:id="0">
    <w:p w14:paraId="7652052C" w14:textId="77777777" w:rsidR="00A11963" w:rsidRDefault="00A1196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B6C89"/>
    <w:multiLevelType w:val="multilevel"/>
    <w:tmpl w:val="179A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35378"/>
    <w:multiLevelType w:val="hybridMultilevel"/>
    <w:tmpl w:val="0B924530"/>
    <w:lvl w:ilvl="0" w:tplc="6B8650B8">
      <w:start w:val="90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494E"/>
    <w:multiLevelType w:val="hybridMultilevel"/>
    <w:tmpl w:val="970411D8"/>
    <w:lvl w:ilvl="0" w:tplc="5AA608CA">
      <w:start w:val="2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33E18"/>
    <w:rsid w:val="0005198E"/>
    <w:rsid w:val="000C0578"/>
    <w:rsid w:val="0010332B"/>
    <w:rsid w:val="001443A2"/>
    <w:rsid w:val="00150B32"/>
    <w:rsid w:val="0017531F"/>
    <w:rsid w:val="00197510"/>
    <w:rsid w:val="001C7C51"/>
    <w:rsid w:val="001D3A9A"/>
    <w:rsid w:val="00226462"/>
    <w:rsid w:val="0022722C"/>
    <w:rsid w:val="002651F9"/>
    <w:rsid w:val="0028545A"/>
    <w:rsid w:val="002E1CE6"/>
    <w:rsid w:val="002F2D22"/>
    <w:rsid w:val="00302A30"/>
    <w:rsid w:val="00310F9A"/>
    <w:rsid w:val="0032369D"/>
    <w:rsid w:val="00325B72"/>
    <w:rsid w:val="00326091"/>
    <w:rsid w:val="00357643"/>
    <w:rsid w:val="00371634"/>
    <w:rsid w:val="00386E9C"/>
    <w:rsid w:val="00393964"/>
    <w:rsid w:val="003B7C3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D37F8"/>
    <w:rsid w:val="00507C65"/>
    <w:rsid w:val="005178C1"/>
    <w:rsid w:val="00527C5F"/>
    <w:rsid w:val="005353ED"/>
    <w:rsid w:val="005514C3"/>
    <w:rsid w:val="005E1668"/>
    <w:rsid w:val="005E4B8F"/>
    <w:rsid w:val="005E5F80"/>
    <w:rsid w:val="005F6E0B"/>
    <w:rsid w:val="0062328F"/>
    <w:rsid w:val="00662DC2"/>
    <w:rsid w:val="00684BBC"/>
    <w:rsid w:val="006972EC"/>
    <w:rsid w:val="006B4920"/>
    <w:rsid w:val="006C0822"/>
    <w:rsid w:val="006D00B4"/>
    <w:rsid w:val="00700D7A"/>
    <w:rsid w:val="00721260"/>
    <w:rsid w:val="007361E7"/>
    <w:rsid w:val="007368EB"/>
    <w:rsid w:val="007507D8"/>
    <w:rsid w:val="0078125F"/>
    <w:rsid w:val="0078474C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37C"/>
    <w:rsid w:val="008D45DB"/>
    <w:rsid w:val="0090214F"/>
    <w:rsid w:val="009163E6"/>
    <w:rsid w:val="009760E8"/>
    <w:rsid w:val="009877B5"/>
    <w:rsid w:val="009947BA"/>
    <w:rsid w:val="00997F41"/>
    <w:rsid w:val="009A3A9D"/>
    <w:rsid w:val="009C56B1"/>
    <w:rsid w:val="009D5226"/>
    <w:rsid w:val="009E2FD4"/>
    <w:rsid w:val="00A06750"/>
    <w:rsid w:val="00A11963"/>
    <w:rsid w:val="00A9132B"/>
    <w:rsid w:val="00AA1A5A"/>
    <w:rsid w:val="00AD23FB"/>
    <w:rsid w:val="00AD3240"/>
    <w:rsid w:val="00B22B65"/>
    <w:rsid w:val="00B26756"/>
    <w:rsid w:val="00B71A57"/>
    <w:rsid w:val="00B7307A"/>
    <w:rsid w:val="00BC285E"/>
    <w:rsid w:val="00C02454"/>
    <w:rsid w:val="00C0755C"/>
    <w:rsid w:val="00C3477B"/>
    <w:rsid w:val="00C5420E"/>
    <w:rsid w:val="00C85956"/>
    <w:rsid w:val="00C9733D"/>
    <w:rsid w:val="00CA3783"/>
    <w:rsid w:val="00CB23F4"/>
    <w:rsid w:val="00D136E4"/>
    <w:rsid w:val="00D212A5"/>
    <w:rsid w:val="00D5334D"/>
    <w:rsid w:val="00D5523D"/>
    <w:rsid w:val="00D944DF"/>
    <w:rsid w:val="00DD110C"/>
    <w:rsid w:val="00DD26CD"/>
    <w:rsid w:val="00DD478D"/>
    <w:rsid w:val="00DE6D53"/>
    <w:rsid w:val="00E06E39"/>
    <w:rsid w:val="00E07D73"/>
    <w:rsid w:val="00E12831"/>
    <w:rsid w:val="00E17D18"/>
    <w:rsid w:val="00E30E67"/>
    <w:rsid w:val="00EB4CB4"/>
    <w:rsid w:val="00EB5A72"/>
    <w:rsid w:val="00EF6C5F"/>
    <w:rsid w:val="00F02A8F"/>
    <w:rsid w:val="00F22855"/>
    <w:rsid w:val="00F46AB0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EF6C5F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5E4B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glistika.unizd.hr/ispitni-rokovi" TargetMode="External"/><Relationship Id="rId18" Type="http://schemas.openxmlformats.org/officeDocument/2006/relationships/hyperlink" Target="https://moodle.srce.hr/2021-2022/mod/resource/view.php?id=2398022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moodle.srce.hr/2021-2022/mod/resource/view.php?id=2237252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bregov@unizd.hr" TargetMode="External"/><Relationship Id="rId17" Type="http://schemas.openxmlformats.org/officeDocument/2006/relationships/hyperlink" Target="https://moodle.srce.hr/2021-2022/mod/resource/view.php?id=2249189" TargetMode="External"/><Relationship Id="rId25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odle.srce.hr/2021-2022/mod/resource/view.php?id=2237254" TargetMode="External"/><Relationship Id="rId20" Type="http://schemas.openxmlformats.org/officeDocument/2006/relationships/hyperlink" Target="https://moodle.srce.hr/2021-2022/mod/resource/view.php?id=22491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regov@unizd.hr" TargetMode="External"/><Relationship Id="rId24" Type="http://schemas.openxmlformats.org/officeDocument/2006/relationships/hyperlink" Target="https://moodle.srce.hr/2021-2022/mod/resource/view.php?id=231899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oodle.srce.hr/2021-2022/mod/resource/view.php?id=2237246" TargetMode="External"/><Relationship Id="rId23" Type="http://schemas.openxmlformats.org/officeDocument/2006/relationships/hyperlink" Target="https://moodle.srce.hr/2021-2022/mod/resource/view.php?id=225453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odle.srce.hr/2021-2022/mod/resource/view.php?id=22492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glistika.unizd.hr/ispitni-rokovi" TargetMode="External"/><Relationship Id="rId22" Type="http://schemas.openxmlformats.org/officeDocument/2006/relationships/hyperlink" Target="https://moodle.srce.hr/2021-2022/mod/resource/view.php?id=2254682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Nataša Burčul</cp:lastModifiedBy>
  <cp:revision>6</cp:revision>
  <cp:lastPrinted>2021-02-12T11:27:00Z</cp:lastPrinted>
  <dcterms:created xsi:type="dcterms:W3CDTF">2025-09-05T10:56:00Z</dcterms:created>
  <dcterms:modified xsi:type="dcterms:W3CDTF">2025-09-19T07:40:00Z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